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V 208</w:t>
      </w:r>
    </w:p>
    <w:p>
      <w:r>
        <w:t>Bundesgericht (BGE), 1974-12-16, DE</w:t>
      </w:r>
    </w:p>
    <w:p>
      <w:r>
        <w:rPr>
          <w:b/>
        </w:rPr>
        <w:t xml:space="preserve">Quelle: </w:t>
      </w:r>
      <w:r>
        <w:t>https://mcp.opencaselaw.ch/entscheid/bge_100 V 208</w:t>
      </w:r>
    </w:p>
    <w:p>
      <w:r>
        <w:t>FR: ATF 100 V 208</w:t>
      </w:r>
    </w:p>
    <w:p>
      <w:r>
        <w:t>IT: DTF 100 V 208</w:t>
      </w:r>
    </w:p>
    <w:p>
      <w:pPr>
        <w:pStyle w:val="Heading2"/>
      </w:pPr>
      <w:r>
        <w:t>Regeste</w:t>
      </w:r>
    </w:p>
    <w:p>
      <w:r>
        <w:t>Regeste Über die Begriffe des Versicherungsfalls und des anspruchsbegründenden Sachverhalts. Bei der Witwenrente tritt der Versicherungsfall am Tage nach Ablauf des Todesmonats ein (Art. 23 Abs. 3 AHVG).</w:t>
      </w:r>
    </w:p>
    <w:p>
      <w:pPr>
        <w:pStyle w:val="Heading2"/>
      </w:pPr>
      <w:r>
        <w:t>Erwägungen</w:t>
      </w:r>
    </w:p>
    <w:p>
      <w:r>
        <w:rPr>
          <w:b/>
        </w:rPr>
        <w:t>E. 1</w:t>
      </w:r>
    </w:p>
    <w:p>
      <w:r>
        <w:t>Nach dem altrechtlichen Art. 23 Abs. 1 lit. b AHVG haben kinderlose Witwen dann Anspruch auf eine Hinterlassenenrente, wenn sie im Zeitpunkt der Verwitwung das 40. Altersjahr zurückgelegt haben und mindestens fünf Jahre verheiratet gewesen sind. Das hier festgelegte Mindestalter ist mit dem Inkrafttreten der 8. AHV-Revision am 1. Januar 1973 auf 45 Jahre hinaufgesetzt worden (vgl. den neurechtlichen Art. 23 Abs. 1 lit. d AHVG ). Der Anspruch auf Witwenrente entsteht - sowohl nach altem wie nach neuem Recht - am 1. Tag des dem Tode des Ehemannes folgenden Monats ( Art. 23 Abs. 3 AHVG ). Ob in einem Fall wie dem vorliegenden altes oder neues Recht angewandt werden muss, beurteilt sich nach dem Zeitpunkt, in welchem das Rechtsverhältnis des Versicherungsfalles als Grundvoraussetzung für den Bezug von Versicherungsleistungen entstanden ist (vgl. Rz. 8 der Rentenwegleitung). Vom Versicherungsfall zu unterscheiden ist die Erfüllung des leistungsbegründenden Sachverhalts. Dieser umfasst alle jene Elemente, die in tatbeständlicher Hinsicht gegeben sein müssen, damit der Versicherungsfall überhaupt eintreten kann. Der Zeitpunkt des Eintritts des Versicherungsfalles und jener der Erfüllung des anspruchsbegründenden Sachverhalts sind nicht ohne weiteres identisch. Mit andern Worten beinhaltet der leistungsbegründende Sachverhalt noch kein Rechtsverhältnis. Den Zeitpunkt, da dieses entsteht, umschreibt das Gesetz regelmässig in der Weise, dass es erklärt, wann der Leistungsanspruch entsteht. Wenn in der Invalidenversicherung BGE 100 V 208 S. 210 beispielsweise die Entstehung des Anspruchs auf eine Invalidenrente unabhängig von einem bestimmten Monatstag auf jenen Zeitpunkt festgelegt wird, da die erwerbliche Beeinträchtigung eine gewisse Intensität erreicht hat (vgl. Art. 29 Abs. 1 IVG ), so stimmen hier der Zeitpunkt der Erfüllung des anspruchsbegründenden Sachverhalts und jener der Entstehung des Rechtsverhältnisses von Gesetzes wegen. überein. Dagegen bestimmt Art. 23 Abs. 3 AHVG implicite, dass der Anspruch auf Witwenrente nicht schon mit der Erfüllung des anspruchsbegründenden Sachverhalts, nämlich mit dem Tod des Ehemannes, sondern am Ersten des darauffolgenden Monats entsteht. Der Zeitpunkt, da sich der anspruchsbegründende Sachverhalt erfüllt, unterscheidet sich nach dem klaren gesetzlichen Wortlaut vom Zeitpunkt der Entstehung des Rentenanspruchs. Das Rechtsverhältnis des Versicherungsfalles entsteht hier - entgegen Rz. 9. der Rentenwegleitung - erst nach Ablauf des Todesmonats (Beschluss des Gesamtgerichts vom 18. September 1974).</w:t>
      </w:r>
    </w:p>
    <w:p>
      <w:r>
        <w:rPr>
          <w:b/>
        </w:rPr>
        <w:t>E. 2</w:t>
      </w:r>
    </w:p>
    <w:p>
      <w:r>
        <w:t>Für die vorliegenden Belange ergibt sich daraus, dass der Versicherungsfall hinsichtlich des Rentenanspruchs nicht schon mit dem Tod des Versicherten am 5. Dezember 1972, sondern am 1. Januar 1973 eingetreten wäre. Auf diesen Zeitpunkt ist aber der revidierte Art. 23 Abs. 1 AHVG in Kraft getreten. Somit beurteilt sich nach neuem Recht, ob der Beschwerdeführerin eine Witwenrente zusteht. Da das neue Recht eine Hinterlassenenrente lediglich jenen kmderlosen Witwen zuerkennt, die bereits das 45. Altersjahr zurückgelegt haben, eine Voraussetzung, welche die Beschwerdeführerin am 1. Januar 1973 nicht erfüllte, steht ihr kein Rentenanspruch, sondern eine Abfindung gemäss Art. 24 AHVG zu.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